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yiv1452806174default"/>
        <w:shd w:val="clear" w:color="auto" w:fill="ffffff"/>
        <w:spacing w:before="0" w:after="0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Community LendingWorks, el Condado de Lane, las Ciudades</w:t>
      </w:r>
      <w:r>
        <w:rPr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s-ES_tradnl"/>
        </w:rPr>
        <w:t>de Coburg, Cottage Grove, Creswell, Florence, Oakridge, Springfield, y Veneta</w:t>
      </w:r>
      <w:r>
        <w:rPr>
          <w:sz w:val="23"/>
          <w:szCs w:val="23"/>
          <w:rtl w:val="0"/>
          <w:lang w:val="es-ES_tradnl"/>
        </w:rPr>
        <w:t> </w:t>
      </w:r>
      <w:r>
        <w:rPr>
          <w:sz w:val="23"/>
          <w:szCs w:val="23"/>
          <w:rtl w:val="0"/>
          <w:lang w:val="es-ES_tradnl"/>
        </w:rPr>
        <w:t>han unido sus esfuerzos para crear un nuevo Fondo de Subvenciones de Emergencia para Peque</w:t>
      </w:r>
      <w:r>
        <w:rPr>
          <w:sz w:val="23"/>
          <w:szCs w:val="23"/>
          <w:rtl w:val="0"/>
          <w:lang w:val="es-ES_tradnl"/>
        </w:rPr>
        <w:t>ñ</w:t>
      </w:r>
      <w:r>
        <w:rPr>
          <w:sz w:val="23"/>
          <w:szCs w:val="23"/>
          <w:rtl w:val="0"/>
          <w:lang w:val="es-ES_tradnl"/>
        </w:rPr>
        <w:t>as Empresas (</w:t>
      </w:r>
      <w:r>
        <w:rPr>
          <w:i w:val="1"/>
          <w:iCs w:val="1"/>
          <w:sz w:val="23"/>
          <w:szCs w:val="23"/>
          <w:rtl w:val="0"/>
          <w:lang w:val="es-ES_tradnl"/>
        </w:rPr>
        <w:t>Small Business Emergency Grant Fund</w:t>
      </w:r>
      <w:r>
        <w:rPr>
          <w:sz w:val="23"/>
          <w:szCs w:val="23"/>
          <w:rtl w:val="0"/>
          <w:lang w:val="es-ES_tradnl"/>
        </w:rPr>
        <w:t>) para brindar apoyo financiero adicional para ayudar a nuestras empresas locales a superar la pandemia.</w:t>
      </w:r>
    </w:p>
    <w:p>
      <w:pPr>
        <w:pStyle w:val="yiv1452806174default"/>
        <w:shd w:val="clear" w:color="auto" w:fill="ffffff"/>
        <w:spacing w:before="0" w:after="0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  </w:t>
      </w:r>
    </w:p>
    <w:p>
      <w:pPr>
        <w:pStyle w:val="yiv1452806174default"/>
        <w:shd w:val="clear" w:color="auto" w:fill="ffffff"/>
        <w:spacing w:before="0" w:after="0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Las empresas elegibles deben:</w:t>
      </w:r>
    </w:p>
    <w:p>
      <w:pPr>
        <w:pStyle w:val="yiv1452806174default"/>
        <w:shd w:val="clear" w:color="auto" w:fill="ffffff"/>
        <w:spacing w:before="0" w:after="0"/>
        <w:ind w:left="144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-</w:t>
      </w:r>
      <w:r>
        <w:rPr>
          <w:rFonts w:ascii="Cambria" w:hAnsi="Cambria" w:hint="default"/>
          <w:sz w:val="23"/>
          <w:szCs w:val="23"/>
          <w:rtl w:val="0"/>
          <w:lang w:val="es-ES_tradnl"/>
        </w:rPr>
        <w:t>          </w:t>
      </w:r>
      <w:r>
        <w:rPr>
          <w:sz w:val="23"/>
          <w:szCs w:val="23"/>
          <w:rtl w:val="0"/>
          <w:lang w:val="es-ES_tradnl"/>
        </w:rPr>
        <w:t>Tener 25 o menos empleados clasificados como FTE (equivalente a tiempo completo), al cierre de 2019 y</w:t>
      </w:r>
    </w:p>
    <w:p>
      <w:pPr>
        <w:pStyle w:val="yiv1452806174default"/>
        <w:shd w:val="clear" w:color="auto" w:fill="ffffff"/>
        <w:spacing w:before="0" w:after="0"/>
        <w:ind w:left="144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-</w:t>
      </w:r>
      <w:r>
        <w:rPr>
          <w:rFonts w:ascii="Cambria" w:hAnsi="Cambria" w:hint="default"/>
          <w:sz w:val="23"/>
          <w:szCs w:val="23"/>
          <w:rtl w:val="0"/>
          <w:lang w:val="es-ES_tradnl"/>
        </w:rPr>
        <w:t>          </w:t>
      </w:r>
      <w:r>
        <w:rPr>
          <w:sz w:val="23"/>
          <w:szCs w:val="23"/>
          <w:rtl w:val="0"/>
          <w:lang w:val="es-ES_tradnl"/>
        </w:rPr>
        <w:t>Estar ubicadas dentro del Condado de Lane.</w:t>
      </w:r>
    </w:p>
    <w:p>
      <w:pPr>
        <w:pStyle w:val="yiv1452806174default"/>
        <w:shd w:val="clear" w:color="auto" w:fill="ffffff"/>
        <w:spacing w:before="0" w:after="0"/>
        <w:ind w:left="1080" w:firstLine="0"/>
        <w:rPr>
          <w:sz w:val="23"/>
          <w:szCs w:val="23"/>
        </w:rPr>
      </w:pPr>
      <w:r>
        <w:rPr>
          <w:i w:val="1"/>
          <w:iCs w:val="1"/>
          <w:sz w:val="23"/>
          <w:szCs w:val="23"/>
          <w:rtl w:val="0"/>
          <w:lang w:val="es-ES_tradnl"/>
        </w:rPr>
        <w:t>Es importante recalcar que las empresas que han recibido fondos federales, a trav</w:t>
      </w:r>
      <w:r>
        <w:rPr>
          <w:i w:val="1"/>
          <w:iCs w:val="1"/>
          <w:sz w:val="23"/>
          <w:szCs w:val="23"/>
          <w:rtl w:val="0"/>
          <w:lang w:val="es-ES_tradnl"/>
        </w:rPr>
        <w:t>é</w:t>
      </w:r>
      <w:r>
        <w:rPr>
          <w:i w:val="1"/>
          <w:iCs w:val="1"/>
          <w:sz w:val="23"/>
          <w:szCs w:val="23"/>
          <w:rtl w:val="0"/>
          <w:lang w:val="es-ES_tradnl"/>
        </w:rPr>
        <w:t>s del Programa de Protecci</w:t>
      </w:r>
      <w:r>
        <w:rPr>
          <w:i w:val="1"/>
          <w:iCs w:val="1"/>
          <w:sz w:val="23"/>
          <w:szCs w:val="23"/>
          <w:rtl w:val="0"/>
          <w:lang w:val="es-ES_tradnl"/>
        </w:rPr>
        <w:t>ó</w:t>
      </w:r>
      <w:r>
        <w:rPr>
          <w:i w:val="1"/>
          <w:iCs w:val="1"/>
          <w:sz w:val="23"/>
          <w:szCs w:val="23"/>
          <w:rtl w:val="0"/>
          <w:lang w:val="es-ES_tradnl"/>
        </w:rPr>
        <w:t>n de Cheques de Pago (Paycheck Protection Program) o por medio de Pr</w:t>
      </w:r>
      <w:r>
        <w:rPr>
          <w:i w:val="1"/>
          <w:iCs w:val="1"/>
          <w:sz w:val="23"/>
          <w:szCs w:val="23"/>
          <w:rtl w:val="0"/>
          <w:lang w:val="es-ES_tradnl"/>
        </w:rPr>
        <w:t>é</w:t>
      </w:r>
      <w:r>
        <w:rPr>
          <w:i w:val="1"/>
          <w:iCs w:val="1"/>
          <w:sz w:val="23"/>
          <w:szCs w:val="23"/>
          <w:rtl w:val="0"/>
          <w:lang w:val="es-ES_tradnl"/>
        </w:rPr>
        <w:t>stamos de Desastres por Da</w:t>
      </w:r>
      <w:r>
        <w:rPr>
          <w:i w:val="1"/>
          <w:iCs w:val="1"/>
          <w:sz w:val="23"/>
          <w:szCs w:val="23"/>
          <w:rtl w:val="0"/>
          <w:lang w:val="es-ES_tradnl"/>
        </w:rPr>
        <w:t>ñ</w:t>
      </w:r>
      <w:r>
        <w:rPr>
          <w:i w:val="1"/>
          <w:iCs w:val="1"/>
          <w:sz w:val="23"/>
          <w:szCs w:val="23"/>
          <w:rtl w:val="0"/>
          <w:lang w:val="es-ES_tradnl"/>
        </w:rPr>
        <w:t>os Econ</w:t>
      </w:r>
      <w:r>
        <w:rPr>
          <w:i w:val="1"/>
          <w:iCs w:val="1"/>
          <w:sz w:val="23"/>
          <w:szCs w:val="23"/>
          <w:rtl w:val="0"/>
          <w:lang w:val="es-ES_tradnl"/>
        </w:rPr>
        <w:t>ó</w:t>
      </w:r>
      <w:r>
        <w:rPr>
          <w:i w:val="1"/>
          <w:iCs w:val="1"/>
          <w:sz w:val="23"/>
          <w:szCs w:val="23"/>
          <w:rtl w:val="0"/>
          <w:lang w:val="es-ES_tradnl"/>
        </w:rPr>
        <w:t>micos (Economic Injury Disaster Loan), pueden solicitar y recibir estos fondos de subvenci</w:t>
      </w:r>
      <w:r>
        <w:rPr>
          <w:i w:val="1"/>
          <w:iCs w:val="1"/>
          <w:sz w:val="23"/>
          <w:szCs w:val="23"/>
          <w:rtl w:val="0"/>
          <w:lang w:val="es-ES_tradnl"/>
        </w:rPr>
        <w:t>ó</w:t>
      </w:r>
      <w:r>
        <w:rPr>
          <w:i w:val="1"/>
          <w:iCs w:val="1"/>
          <w:sz w:val="23"/>
          <w:szCs w:val="23"/>
          <w:rtl w:val="0"/>
          <w:lang w:val="es-ES_tradnl"/>
        </w:rPr>
        <w:t>n.</w:t>
      </w:r>
    </w:p>
    <w:p>
      <w:pPr>
        <w:pStyle w:val="yiv1452806174default"/>
        <w:shd w:val="clear" w:color="auto" w:fill="ffffff"/>
        <w:spacing w:before="0" w:after="0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 </w:t>
      </w:r>
    </w:p>
    <w:p>
      <w:pPr>
        <w:pStyle w:val="yiv1452806174default"/>
        <w:shd w:val="clear" w:color="auto" w:fill="ffffff"/>
        <w:spacing w:before="0" w:after="0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Para poder solicitar, las empresas deber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n presentar un estado de ganancias y p</w:t>
      </w:r>
      <w:r>
        <w:rPr>
          <w:sz w:val="23"/>
          <w:szCs w:val="23"/>
          <w:rtl w:val="0"/>
          <w:lang w:val="es-ES_tradnl"/>
        </w:rPr>
        <w:t>é</w:t>
      </w:r>
      <w:r>
        <w:rPr>
          <w:sz w:val="23"/>
          <w:szCs w:val="23"/>
          <w:rtl w:val="0"/>
          <w:lang w:val="es-ES_tradnl"/>
        </w:rPr>
        <w:t>rdidas de 2019, junto con un estado de p</w:t>
      </w:r>
      <w:r>
        <w:rPr>
          <w:sz w:val="23"/>
          <w:szCs w:val="23"/>
          <w:rtl w:val="0"/>
          <w:lang w:val="es-ES_tradnl"/>
        </w:rPr>
        <w:t>é</w:t>
      </w:r>
      <w:r>
        <w:rPr>
          <w:sz w:val="23"/>
          <w:szCs w:val="23"/>
          <w:rtl w:val="0"/>
          <w:lang w:val="es-ES_tradnl"/>
        </w:rPr>
        <w:t>rdidas y ganancias de 2020 hasta por lo menos el 30 de junio. Las empresas interesadas podr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n presentar una solicitud a partir de las del lunes 5 de octubre en</w:t>
      </w:r>
      <w:r>
        <w:rPr>
          <w:sz w:val="23"/>
          <w:szCs w:val="23"/>
          <w:rtl w:val="0"/>
          <w:lang w:val="es-ES_tradnl"/>
        </w:rPr>
        <w:t> </w:t>
      </w:r>
      <w:r>
        <w:rPr>
          <w:rStyle w:val="Hyperlink.0"/>
          <w:sz w:val="23"/>
          <w:szCs w:val="23"/>
        </w:rPr>
        <w:fldChar w:fldCharType="begin" w:fldLock="0"/>
      </w:r>
      <w:r>
        <w:rPr>
          <w:rStyle w:val="Hyperlink.0"/>
          <w:sz w:val="23"/>
          <w:szCs w:val="23"/>
        </w:rPr>
        <w:instrText xml:space="preserve"> HYPERLINK "https://communitylendingworks.org/emergency-grants-lane-county/"</w:instrText>
      </w:r>
      <w:r>
        <w:rPr>
          <w:rStyle w:val="Hyperlink.0"/>
          <w:sz w:val="23"/>
          <w:szCs w:val="23"/>
        </w:rPr>
        <w:fldChar w:fldCharType="separate" w:fldLock="0"/>
      </w:r>
      <w:r>
        <w:rPr>
          <w:rStyle w:val="Hyperlink.0"/>
          <w:sz w:val="23"/>
          <w:szCs w:val="23"/>
          <w:rtl w:val="0"/>
          <w:lang w:val="es-ES_tradnl"/>
        </w:rPr>
        <w:t>https://communitylendingworks.org/emergency-grants-lane-county/</w:t>
      </w:r>
      <w:r>
        <w:rPr>
          <w:sz w:val="23"/>
          <w:szCs w:val="23"/>
        </w:rPr>
        <w:fldChar w:fldCharType="end" w:fldLock="0"/>
      </w:r>
      <w:r>
        <w:rPr>
          <w:sz w:val="23"/>
          <w:szCs w:val="23"/>
          <w:rtl w:val="0"/>
          <w:lang w:val="es-ES_tradnl"/>
        </w:rPr>
        <w:t>.  El per</w:t>
      </w:r>
      <w:r>
        <w:rPr>
          <w:sz w:val="23"/>
          <w:szCs w:val="23"/>
          <w:rtl w:val="0"/>
          <w:lang w:val="es-ES_tradnl"/>
        </w:rPr>
        <w:t>í</w:t>
      </w:r>
      <w:r>
        <w:rPr>
          <w:sz w:val="23"/>
          <w:szCs w:val="23"/>
          <w:rtl w:val="0"/>
          <w:lang w:val="es-ES_tradnl"/>
        </w:rPr>
        <w:t>odo de solicitud se cerrar</w:t>
      </w:r>
      <w:r>
        <w:rPr>
          <w:sz w:val="23"/>
          <w:szCs w:val="23"/>
          <w:rtl w:val="0"/>
          <w:lang w:val="es-ES_tradnl"/>
        </w:rPr>
        <w:t xml:space="preserve">á </w:t>
      </w:r>
      <w:r>
        <w:rPr>
          <w:sz w:val="23"/>
          <w:szCs w:val="23"/>
          <w:rtl w:val="0"/>
          <w:lang w:val="es-ES_tradnl"/>
        </w:rPr>
        <w:t>a las del mi</w:t>
      </w:r>
      <w:r>
        <w:rPr>
          <w:sz w:val="23"/>
          <w:szCs w:val="23"/>
          <w:rtl w:val="0"/>
          <w:lang w:val="es-ES_tradnl"/>
        </w:rPr>
        <w:t>é</w:t>
      </w:r>
      <w:r>
        <w:rPr>
          <w:sz w:val="23"/>
          <w:szCs w:val="23"/>
          <w:rtl w:val="0"/>
          <w:lang w:val="es-ES_tradnl"/>
        </w:rPr>
        <w:t>rcoles 7 de octubre.</w:t>
      </w:r>
      <w:r>
        <w:rPr>
          <w:sz w:val="23"/>
          <w:szCs w:val="23"/>
          <w:rtl w:val="0"/>
          <w:lang w:val="es-ES_tradnl"/>
        </w:rPr>
        <w:t> </w:t>
      </w:r>
    </w:p>
    <w:p>
      <w:pPr>
        <w:pStyle w:val="yiv1452806174default"/>
        <w:shd w:val="clear" w:color="auto" w:fill="ffffff"/>
        <w:spacing w:before="0" w:after="0"/>
        <w:ind w:left="720" w:firstLine="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s-ES_tradnl"/>
        </w:rPr>
        <w:t> </w:t>
      </w:r>
    </w:p>
    <w:p>
      <w:pPr>
        <w:pStyle w:val="yiv1452806174default"/>
        <w:shd w:val="clear" w:color="auto" w:fill="ffffff"/>
        <w:spacing w:before="0" w:after="0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Las subvenciones se otorgar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n de la siguiente manera:</w:t>
      </w:r>
    </w:p>
    <w:p>
      <w:pPr>
        <w:pStyle w:val="yiv1452806174default"/>
        <w:shd w:val="clear" w:color="auto" w:fill="ffffff"/>
        <w:spacing w:before="0" w:after="0"/>
        <w:ind w:left="144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 xml:space="preserve">Propietarios </w:t>
      </w:r>
      <w:r>
        <w:rPr>
          <w:sz w:val="23"/>
          <w:szCs w:val="23"/>
          <w:rtl w:val="0"/>
          <w:lang w:val="es-ES_tradnl"/>
        </w:rPr>
        <w:t>Ú</w:t>
      </w:r>
      <w:r>
        <w:rPr>
          <w:sz w:val="23"/>
          <w:szCs w:val="23"/>
          <w:rtl w:val="0"/>
          <w:lang w:val="es-ES_tradnl"/>
        </w:rPr>
        <w:t>nicos - $5,000</w:t>
      </w:r>
    </w:p>
    <w:p>
      <w:pPr>
        <w:pStyle w:val="yiv1452806174default"/>
        <w:shd w:val="clear" w:color="auto" w:fill="ffffff"/>
        <w:spacing w:before="0" w:after="0"/>
        <w:ind w:left="144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De 2 - 10 Empleados de Tiempo Completo - $10,000</w:t>
      </w:r>
    </w:p>
    <w:p>
      <w:pPr>
        <w:pStyle w:val="yiv1452806174default"/>
        <w:shd w:val="clear" w:color="auto" w:fill="ffffff"/>
        <w:spacing w:before="0" w:after="0"/>
        <w:ind w:left="144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De 11 - 25 Empleados de Tiempo Completo - $20,000</w:t>
      </w:r>
    </w:p>
    <w:p>
      <w:pPr>
        <w:pStyle w:val="yiv1452806174default"/>
        <w:shd w:val="clear" w:color="auto" w:fill="ffffff"/>
        <w:spacing w:before="0" w:after="0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 </w:t>
      </w:r>
    </w:p>
    <w:p>
      <w:pPr>
        <w:pStyle w:val="yiv1452806174default"/>
        <w:shd w:val="clear" w:color="auto" w:fill="ffffff"/>
        <w:spacing w:before="0" w:after="0"/>
        <w:ind w:left="720" w:firstLine="0"/>
      </w:pPr>
      <w:r>
        <w:rPr>
          <w:sz w:val="23"/>
          <w:szCs w:val="23"/>
          <w:rtl w:val="0"/>
          <w:lang w:val="es-ES_tradnl"/>
        </w:rPr>
        <w:t>Los beneficiarios de las subvenciones se seleccionar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n mediante un sistema de loter</w:t>
      </w:r>
      <w:r>
        <w:rPr>
          <w:sz w:val="23"/>
          <w:szCs w:val="23"/>
          <w:rtl w:val="0"/>
          <w:lang w:val="es-ES_tradnl"/>
        </w:rPr>
        <w:t>í</w:t>
      </w:r>
      <w:r>
        <w:rPr>
          <w:sz w:val="23"/>
          <w:szCs w:val="23"/>
          <w:rtl w:val="0"/>
          <w:lang w:val="es-ES_tradnl"/>
        </w:rPr>
        <w:t>a hasta que se hayan agotado todos los fondos. Se prev</w:t>
      </w:r>
      <w:r>
        <w:rPr>
          <w:sz w:val="23"/>
          <w:szCs w:val="23"/>
          <w:rtl w:val="0"/>
          <w:lang w:val="es-ES_tradnl"/>
        </w:rPr>
        <w:t xml:space="preserve">é </w:t>
      </w:r>
      <w:r>
        <w:rPr>
          <w:sz w:val="23"/>
          <w:szCs w:val="23"/>
          <w:rtl w:val="0"/>
          <w:lang w:val="es-ES_tradnl"/>
        </w:rPr>
        <w:t>que las empresas seleccionadas recibir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n sus fondos la semana del 12 de octubre. Favor dirigir todas sus preguntas a Community LendingWorks.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yiv1452806174default">
    <w:name w:val="yiv1452806174default"/>
    <w:next w:val="yiv1452806174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